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E6C6" w14:textId="1202643E" w:rsidR="00C361CD" w:rsidRPr="00EA263E" w:rsidRDefault="00822AE1">
      <w:pPr>
        <w:pBdr>
          <w:bottom w:val="single" w:sz="12" w:space="1" w:color="auto"/>
        </w:pBd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A263E"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Preserving Access to Protected Health Care Services</w:t>
      </w:r>
    </w:p>
    <w:p w14:paraId="42AA9B49" w14:textId="5ED62F1A" w:rsidR="00057D4C" w:rsidRDefault="00A136A9">
      <w:hyperlink r:id="rId5" w:history="1">
        <w:r w:rsidRPr="00037946">
          <w:rPr>
            <w:rStyle w:val="Hyperlink"/>
          </w:rPr>
          <w:t>HB</w:t>
        </w:r>
        <w:r w:rsidR="00822AE1" w:rsidRPr="00037946">
          <w:rPr>
            <w:rStyle w:val="Hyperlink"/>
          </w:rPr>
          <w:t xml:space="preserve"> 1072</w:t>
        </w:r>
      </w:hyperlink>
      <w:r w:rsidR="00037946">
        <w:t>.</w:t>
      </w:r>
      <w:r w:rsidR="0003412A">
        <w:t xml:space="preserve"> </w:t>
      </w:r>
      <w:r w:rsidR="00057D4C" w:rsidRPr="00057D4C">
        <w:t>Sponsors: </w:t>
      </w:r>
      <w:hyperlink r:id="rId6" w:history="1">
        <w:r w:rsidR="00057D4C" w:rsidRPr="00057D4C">
          <w:rPr>
            <w:rStyle w:val="Hyperlink"/>
          </w:rPr>
          <w:t>Walen</w:t>
        </w:r>
      </w:hyperlink>
      <w:r w:rsidR="00057D4C" w:rsidRPr="00057D4C">
        <w:t>, </w:t>
      </w:r>
      <w:hyperlink r:id="rId7" w:history="1">
        <w:r w:rsidR="00057D4C" w:rsidRPr="00057D4C">
          <w:rPr>
            <w:rStyle w:val="Hyperlink"/>
          </w:rPr>
          <w:t>Leavitt</w:t>
        </w:r>
      </w:hyperlink>
      <w:r w:rsidR="00057D4C" w:rsidRPr="00057D4C">
        <w:t>, </w:t>
      </w:r>
      <w:hyperlink r:id="rId8" w:history="1">
        <w:r w:rsidR="00057D4C" w:rsidRPr="00057D4C">
          <w:rPr>
            <w:rStyle w:val="Hyperlink"/>
          </w:rPr>
          <w:t>Reeves</w:t>
        </w:r>
      </w:hyperlink>
      <w:r w:rsidR="00057D4C" w:rsidRPr="00057D4C">
        <w:t>, </w:t>
      </w:r>
      <w:hyperlink r:id="rId9" w:history="1">
        <w:r w:rsidR="00057D4C" w:rsidRPr="00057D4C">
          <w:rPr>
            <w:rStyle w:val="Hyperlink"/>
          </w:rPr>
          <w:t>Berg</w:t>
        </w:r>
      </w:hyperlink>
      <w:r w:rsidR="00057D4C" w:rsidRPr="00057D4C">
        <w:t>, </w:t>
      </w:r>
      <w:hyperlink r:id="rId10" w:history="1">
        <w:r w:rsidR="00057D4C" w:rsidRPr="00057D4C">
          <w:rPr>
            <w:rStyle w:val="Hyperlink"/>
          </w:rPr>
          <w:t>Ryu</w:t>
        </w:r>
      </w:hyperlink>
      <w:r w:rsidR="00057D4C" w:rsidRPr="00057D4C">
        <w:t>, </w:t>
      </w:r>
      <w:hyperlink r:id="rId11" w:history="1">
        <w:r w:rsidR="00057D4C" w:rsidRPr="00057D4C">
          <w:rPr>
            <w:rStyle w:val="Hyperlink"/>
          </w:rPr>
          <w:t>Ramel</w:t>
        </w:r>
      </w:hyperlink>
      <w:r w:rsidR="00057D4C" w:rsidRPr="00057D4C">
        <w:t>, </w:t>
      </w:r>
      <w:hyperlink r:id="rId12" w:history="1">
        <w:r w:rsidR="00057D4C" w:rsidRPr="00057D4C">
          <w:rPr>
            <w:rStyle w:val="Hyperlink"/>
          </w:rPr>
          <w:t>Reed</w:t>
        </w:r>
      </w:hyperlink>
      <w:r w:rsidR="00057D4C" w:rsidRPr="00057D4C">
        <w:t>, </w:t>
      </w:r>
      <w:hyperlink r:id="rId13" w:history="1">
        <w:r w:rsidR="00057D4C" w:rsidRPr="00057D4C">
          <w:rPr>
            <w:rStyle w:val="Hyperlink"/>
          </w:rPr>
          <w:t>Callan</w:t>
        </w:r>
      </w:hyperlink>
      <w:r w:rsidR="00057D4C" w:rsidRPr="00057D4C">
        <w:t>, </w:t>
      </w:r>
      <w:hyperlink r:id="rId14" w:history="1">
        <w:r w:rsidR="00057D4C" w:rsidRPr="00057D4C">
          <w:rPr>
            <w:rStyle w:val="Hyperlink"/>
          </w:rPr>
          <w:t>Goodman</w:t>
        </w:r>
      </w:hyperlink>
      <w:r w:rsidR="00057D4C" w:rsidRPr="00057D4C">
        <w:t>, </w:t>
      </w:r>
      <w:hyperlink r:id="rId15" w:history="1">
        <w:r w:rsidR="00057D4C" w:rsidRPr="00057D4C">
          <w:rPr>
            <w:rStyle w:val="Hyperlink"/>
          </w:rPr>
          <w:t>Pollet</w:t>
        </w:r>
      </w:hyperlink>
      <w:r w:rsidR="00057D4C" w:rsidRPr="00057D4C">
        <w:t>, </w:t>
      </w:r>
      <w:hyperlink r:id="rId16" w:history="1">
        <w:r w:rsidR="00057D4C" w:rsidRPr="00057D4C">
          <w:rPr>
            <w:rStyle w:val="Hyperlink"/>
          </w:rPr>
          <w:t>Nance</w:t>
        </w:r>
      </w:hyperlink>
      <w:r w:rsidR="00057D4C" w:rsidRPr="00057D4C">
        <w:t>, </w:t>
      </w:r>
      <w:hyperlink r:id="rId17" w:history="1">
        <w:r w:rsidR="00057D4C" w:rsidRPr="00057D4C">
          <w:rPr>
            <w:rStyle w:val="Hyperlink"/>
          </w:rPr>
          <w:t>Ormsby</w:t>
        </w:r>
      </w:hyperlink>
      <w:r w:rsidR="00057D4C" w:rsidRPr="00057D4C">
        <w:t>, </w:t>
      </w:r>
      <w:hyperlink r:id="rId18" w:history="1">
        <w:r w:rsidR="00057D4C" w:rsidRPr="00057D4C">
          <w:rPr>
            <w:rStyle w:val="Hyperlink"/>
          </w:rPr>
          <w:t>Lekanoff</w:t>
        </w:r>
      </w:hyperlink>
      <w:r w:rsidR="00057D4C" w:rsidRPr="00057D4C">
        <w:t>, </w:t>
      </w:r>
      <w:hyperlink r:id="rId19" w:history="1">
        <w:r w:rsidR="00057D4C" w:rsidRPr="00057D4C">
          <w:rPr>
            <w:rStyle w:val="Hyperlink"/>
          </w:rPr>
          <w:t>Hill</w:t>
        </w:r>
      </w:hyperlink>
    </w:p>
    <w:p w14:paraId="3D9B74C9" w14:textId="4E6676EF" w:rsidR="00EA263E" w:rsidRPr="00811BD5" w:rsidRDefault="00EA263E">
      <w:pPr>
        <w:rPr>
          <w:b/>
          <w:bCs/>
          <w:sz w:val="28"/>
          <w:szCs w:val="28"/>
        </w:rPr>
      </w:pPr>
      <w:r w:rsidRPr="00811BD5">
        <w:rPr>
          <w:b/>
          <w:bCs/>
          <w:sz w:val="28"/>
          <w:szCs w:val="28"/>
        </w:rPr>
        <w:t xml:space="preserve">ASK: Give this bill a hearing. </w:t>
      </w:r>
    </w:p>
    <w:p w14:paraId="3B79E5BA" w14:textId="4062B8FB" w:rsidR="00A136A9" w:rsidRPr="00DC390B" w:rsidRDefault="008E2AF3">
      <w:pPr>
        <w:rPr>
          <w:b/>
          <w:bCs/>
        </w:rPr>
      </w:pPr>
      <w:r w:rsidRPr="00DC390B">
        <w:rPr>
          <w:b/>
          <w:bCs/>
        </w:rPr>
        <w:t>Brief Summary</w:t>
      </w:r>
    </w:p>
    <w:p w14:paraId="4654B9A1" w14:textId="1853E5C9" w:rsidR="001E6027" w:rsidRPr="001A0FA4" w:rsidRDefault="001E6027" w:rsidP="001E6027">
      <w:pPr>
        <w:spacing w:after="0"/>
        <w:contextualSpacing/>
      </w:pPr>
      <w:r w:rsidRPr="001A0FA4">
        <w:t xml:space="preserve">Safeguards </w:t>
      </w:r>
      <w:proofErr w:type="gramStart"/>
      <w:r w:rsidRPr="001A0FA4">
        <w:t>access to</w:t>
      </w:r>
      <w:proofErr w:type="gramEnd"/>
      <w:r w:rsidRPr="001A0FA4">
        <w:t xml:space="preserve"> reproductive health, end-of-life care, and gender-affirming care during health care business transactions.</w:t>
      </w:r>
    </w:p>
    <w:p w14:paraId="0202FE79" w14:textId="2851FE71" w:rsidR="001E6027" w:rsidRPr="001A0FA4" w:rsidRDefault="001E6027" w:rsidP="001E6027">
      <w:pPr>
        <w:numPr>
          <w:ilvl w:val="0"/>
          <w:numId w:val="1"/>
        </w:numPr>
        <w:spacing w:after="0"/>
        <w:contextualSpacing/>
      </w:pPr>
      <w:r w:rsidRPr="001A0FA4">
        <w:t xml:space="preserve">Requires </w:t>
      </w:r>
      <w:r w:rsidRPr="00DC390B">
        <w:rPr>
          <w:b/>
          <w:bCs/>
        </w:rPr>
        <w:t>Department of Health approval</w:t>
      </w:r>
      <w:r w:rsidRPr="001A0FA4">
        <w:t xml:space="preserve"> for transactions impacting protected services.</w:t>
      </w:r>
      <w:r w:rsidR="00DC390B">
        <w:t xml:space="preserve"> </w:t>
      </w:r>
      <w:r w:rsidRPr="001A0FA4">
        <w:t>Allows approval with conditions or denial based on service access.</w:t>
      </w:r>
    </w:p>
    <w:p w14:paraId="47E9222D" w14:textId="77777777" w:rsidR="001E6027" w:rsidRPr="001A0FA4" w:rsidRDefault="001E6027" w:rsidP="001E6027">
      <w:pPr>
        <w:numPr>
          <w:ilvl w:val="0"/>
          <w:numId w:val="1"/>
        </w:numPr>
        <w:spacing w:after="0"/>
        <w:contextualSpacing/>
      </w:pPr>
      <w:r w:rsidRPr="001A0FA4">
        <w:t xml:space="preserve">Mandates </w:t>
      </w:r>
      <w:r w:rsidRPr="001A0FA4">
        <w:rPr>
          <w:b/>
          <w:bCs/>
        </w:rPr>
        <w:t>public hearings</w:t>
      </w:r>
      <w:r w:rsidRPr="001A0FA4">
        <w:t>, biennial reporting, and integration into statewide health strategy.</w:t>
      </w:r>
    </w:p>
    <w:p w14:paraId="55D0F75C" w14:textId="77777777" w:rsidR="001E6027" w:rsidRPr="001A0FA4" w:rsidRDefault="001E6027" w:rsidP="00DC390B">
      <w:pPr>
        <w:numPr>
          <w:ilvl w:val="0"/>
          <w:numId w:val="1"/>
        </w:numPr>
        <w:spacing w:after="120"/>
      </w:pPr>
      <w:r w:rsidRPr="001A0FA4">
        <w:t xml:space="preserve">Attorney General can </w:t>
      </w:r>
      <w:proofErr w:type="gramStart"/>
      <w:r w:rsidRPr="001A0FA4">
        <w:rPr>
          <w:b/>
          <w:bCs/>
        </w:rPr>
        <w:t>enjoin</w:t>
      </w:r>
      <w:proofErr w:type="gramEnd"/>
      <w:r w:rsidRPr="001A0FA4">
        <w:rPr>
          <w:b/>
          <w:bCs/>
        </w:rPr>
        <w:t xml:space="preserve"> transactions</w:t>
      </w:r>
      <w:r w:rsidRPr="001A0FA4">
        <w:t xml:space="preserve"> that violate approval conditions.</w:t>
      </w:r>
    </w:p>
    <w:p w14:paraId="31F164A5" w14:textId="41D9B6CF" w:rsidR="008E2AF3" w:rsidRDefault="008E2AF3">
      <w:r w:rsidRPr="001D248D">
        <w:rPr>
          <w:b/>
          <w:bCs/>
        </w:rPr>
        <w:t>Appropriation requested</w:t>
      </w:r>
      <w:r w:rsidR="005D40AD">
        <w:t xml:space="preserve">. </w:t>
      </w:r>
      <w:r w:rsidR="00C42E75">
        <w:t>$2.</w:t>
      </w:r>
      <w:r w:rsidR="001D248D">
        <w:t>2 million over the 2-year budget period</w:t>
      </w:r>
    </w:p>
    <w:p w14:paraId="6FE589F0" w14:textId="2661B88E" w:rsidR="008E2AF3" w:rsidRDefault="009C1A0C">
      <w:proofErr w:type="gramStart"/>
      <w:r w:rsidRPr="00702C51">
        <w:rPr>
          <w:b/>
          <w:bCs/>
        </w:rPr>
        <w:t>Current status</w:t>
      </w:r>
      <w:proofErr w:type="gramEnd"/>
      <w:r>
        <w:t xml:space="preserve">: </w:t>
      </w:r>
      <w:r w:rsidR="006771BF">
        <w:t>No hearing in 2025. No hearing scheduled</w:t>
      </w:r>
      <w:r w:rsidR="0003412A">
        <w:t xml:space="preserve"> yet</w:t>
      </w:r>
      <w:r w:rsidR="006771BF">
        <w:t xml:space="preserve"> for 2026.</w:t>
      </w:r>
      <w:r>
        <w:t xml:space="preserve"> </w:t>
      </w:r>
      <w:r w:rsidR="004F58F2">
        <w:t>A</w:t>
      </w:r>
      <w:r w:rsidR="007418FA">
        <w:t xml:space="preserve">n alternative bill, HB 2548, </w:t>
      </w:r>
      <w:r w:rsidR="000E7368">
        <w:t>has received a reading</w:t>
      </w:r>
      <w:r w:rsidR="004F58F2">
        <w:t xml:space="preserve"> in the Civil Rights and Judiciary Committee</w:t>
      </w:r>
      <w:r w:rsidR="000E7368">
        <w:t xml:space="preserve">. </w:t>
      </w:r>
      <w:r w:rsidR="000A29F3">
        <w:t xml:space="preserve">That bill </w:t>
      </w:r>
      <w:r w:rsidR="000E7368">
        <w:t xml:space="preserve">does not include </w:t>
      </w:r>
      <w:r w:rsidR="00702C51">
        <w:t>the specific inclusive language of HB 1072</w:t>
      </w:r>
      <w:r w:rsidR="00F173D8">
        <w:t xml:space="preserve"> and makes the Attorney General rather than the Department of Health</w:t>
      </w:r>
      <w:r w:rsidR="00FF4E34">
        <w:t xml:space="preserve"> the implementing agency. </w:t>
      </w:r>
    </w:p>
    <w:p w14:paraId="6D69D9B1" w14:textId="5C78ABC9" w:rsidR="00FB2E5A" w:rsidRDefault="003A0F1B" w:rsidP="00FB2E5A">
      <w:r w:rsidRPr="003A0F1B">
        <w:rPr>
          <w:b/>
          <w:bCs/>
        </w:rPr>
        <w:t xml:space="preserve">HB 1072 </w:t>
      </w:r>
      <w:r w:rsidR="00FB2E5A" w:rsidRPr="003A0F1B">
        <w:rPr>
          <w:b/>
          <w:bCs/>
        </w:rPr>
        <w:t>Has strong support from health equity and LGBTQ+ groups</w:t>
      </w:r>
      <w:r w:rsidR="00FB2E5A">
        <w:t xml:space="preserve">. </w:t>
      </w:r>
    </w:p>
    <w:p w14:paraId="0369AB60" w14:textId="77777777" w:rsidR="00466A52" w:rsidRDefault="005D07B7" w:rsidP="005D07B7">
      <w:r w:rsidRPr="005D07B7">
        <w:rPr>
          <w:b/>
          <w:bCs/>
        </w:rPr>
        <w:t xml:space="preserve">Pros </w:t>
      </w:r>
      <w:r w:rsidRPr="00466A52">
        <w:t>(Supporters’ Perspective)</w:t>
      </w:r>
      <w:r w:rsidR="00C53F43">
        <w:rPr>
          <w:b/>
          <w:bCs/>
        </w:rPr>
        <w:t xml:space="preserve">: </w:t>
      </w:r>
      <w:r w:rsidR="00C53F43" w:rsidRPr="004C440C">
        <w:t xml:space="preserve">Safeguards </w:t>
      </w:r>
      <w:r w:rsidR="004C440C">
        <w:t>a</w:t>
      </w:r>
      <w:r w:rsidR="00C53F43" w:rsidRPr="004C440C">
        <w:t xml:space="preserve">ccess to </w:t>
      </w:r>
      <w:r w:rsidR="004C440C">
        <w:t>c</w:t>
      </w:r>
      <w:r w:rsidR="00C53F43" w:rsidRPr="004C440C">
        <w:t xml:space="preserve">ritical </w:t>
      </w:r>
      <w:r w:rsidR="004C440C">
        <w:t>h</w:t>
      </w:r>
      <w:r w:rsidR="00C53F43" w:rsidRPr="004C440C">
        <w:t xml:space="preserve">ealth </w:t>
      </w:r>
      <w:r w:rsidR="004C440C">
        <w:t>s</w:t>
      </w:r>
      <w:r w:rsidR="00C53F43" w:rsidRPr="004C440C">
        <w:t>ervices</w:t>
      </w:r>
      <w:r w:rsidR="00C53F43" w:rsidRPr="004C440C">
        <w:t xml:space="preserve">; </w:t>
      </w:r>
      <w:r w:rsidR="00C53F43" w:rsidRPr="004C440C">
        <w:t xml:space="preserve">Regulatory </w:t>
      </w:r>
      <w:r w:rsidR="004C440C">
        <w:t>o</w:t>
      </w:r>
      <w:r w:rsidR="00C53F43" w:rsidRPr="004C440C">
        <w:t xml:space="preserve">versight </w:t>
      </w:r>
      <w:r w:rsidR="004C440C">
        <w:t>increases</w:t>
      </w:r>
      <w:r w:rsidR="00C53F43" w:rsidRPr="004C440C">
        <w:t xml:space="preserve"> </w:t>
      </w:r>
      <w:r w:rsidR="004C440C">
        <w:t>t</w:t>
      </w:r>
      <w:r w:rsidR="00C53F43" w:rsidRPr="004C440C">
        <w:t>ransparency</w:t>
      </w:r>
      <w:r w:rsidR="00C53F43" w:rsidRPr="004C440C">
        <w:t xml:space="preserve">; </w:t>
      </w:r>
      <w:r w:rsidR="004C440C">
        <w:t>mandates hearings that increase p</w:t>
      </w:r>
      <w:r w:rsidR="00C53F43" w:rsidRPr="004C440C">
        <w:t xml:space="preserve">ublic </w:t>
      </w:r>
      <w:r w:rsidR="004C440C">
        <w:t>a</w:t>
      </w:r>
      <w:r w:rsidR="00C53F43" w:rsidRPr="004C440C">
        <w:t>ccountability</w:t>
      </w:r>
      <w:r w:rsidR="00C53F43" w:rsidRPr="004C440C">
        <w:t xml:space="preserve">; </w:t>
      </w:r>
      <w:r w:rsidR="004C440C">
        <w:t>provides for i</w:t>
      </w:r>
      <w:r w:rsidR="00C53F43" w:rsidRPr="004C440C">
        <w:t xml:space="preserve">ntegration into </w:t>
      </w:r>
      <w:r w:rsidR="004C440C">
        <w:t>s</w:t>
      </w:r>
      <w:r w:rsidR="00C53F43" w:rsidRPr="004C440C">
        <w:t xml:space="preserve">tate </w:t>
      </w:r>
      <w:r w:rsidR="004C440C">
        <w:t>h</w:t>
      </w:r>
      <w:r w:rsidR="00C53F43" w:rsidRPr="004C440C">
        <w:t xml:space="preserve">ealth </w:t>
      </w:r>
      <w:r w:rsidR="004C440C">
        <w:t>s</w:t>
      </w:r>
      <w:r w:rsidR="00C53F43" w:rsidRPr="004C440C">
        <w:t>trategy</w:t>
      </w:r>
      <w:r w:rsidR="004C440C">
        <w:t xml:space="preserve">, promoting long-term equity goals. </w:t>
      </w:r>
    </w:p>
    <w:p w14:paraId="176608FA" w14:textId="4372FB38" w:rsidR="005D07B7" w:rsidRPr="005D07B7" w:rsidRDefault="00466A52" w:rsidP="005D07B7">
      <w:pPr>
        <w:rPr>
          <w:b/>
          <w:bCs/>
        </w:rPr>
      </w:pPr>
      <w:r w:rsidRPr="00466A52">
        <w:rPr>
          <w:b/>
          <w:bCs/>
        </w:rPr>
        <w:t>Cons</w:t>
      </w:r>
      <w:r>
        <w:t xml:space="preserve"> (Opponents’ perspective): </w:t>
      </w:r>
      <w:r w:rsidR="008B2810">
        <w:t>Detailed applications and lengthy reviews could delay beneficial mergers and expansions; potential higher costs for state implementation, funds should go to patient care; oversight may discourage investment or consolidation that could improve efficiency and lower costs in the system; could lead to litigation and uncertainty</w:t>
      </w:r>
      <w:r w:rsidR="00C53F43" w:rsidRPr="004C440C">
        <w:br/>
      </w:r>
    </w:p>
    <w:p w14:paraId="4EB8C272" w14:textId="77777777" w:rsidR="005D07B7" w:rsidRPr="005D07B7" w:rsidRDefault="009126CC" w:rsidP="005D07B7">
      <w:pPr>
        <w:rPr>
          <w:b/>
          <w:bCs/>
        </w:rPr>
      </w:pPr>
      <w:r>
        <w:pict w14:anchorId="0C96FC9F">
          <v:rect id="_x0000_i1025" style="width:0;height:1.5pt" o:hralign="center" o:hrstd="t" o:hr="t" fillcolor="#a0a0a0" stroked="f"/>
        </w:pict>
      </w:r>
    </w:p>
    <w:p w14:paraId="70D10F23" w14:textId="6173A98D" w:rsidR="005D07B7" w:rsidRDefault="008B2810">
      <w:r>
        <w:t>Base</w:t>
      </w:r>
      <w:r w:rsidR="000A29F3">
        <w:t xml:space="preserve">d </w:t>
      </w:r>
      <w:r w:rsidR="009126CC">
        <w:t xml:space="preserve">in part </w:t>
      </w:r>
      <w:r>
        <w:t>on</w:t>
      </w:r>
      <w:r w:rsidR="009126CC">
        <w:t xml:space="preserve"> a</w:t>
      </w:r>
      <w:r>
        <w:t xml:space="preserve"> s</w:t>
      </w:r>
      <w:r w:rsidR="005D07B7">
        <w:t xml:space="preserve">ummary by Microsoft Copilot. </w:t>
      </w:r>
    </w:p>
    <w:sectPr w:rsidR="005D0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85F6D"/>
    <w:multiLevelType w:val="multilevel"/>
    <w:tmpl w:val="369E9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A25B27"/>
    <w:multiLevelType w:val="multilevel"/>
    <w:tmpl w:val="87820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D562A"/>
    <w:multiLevelType w:val="multilevel"/>
    <w:tmpl w:val="AA18E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B43C63"/>
    <w:multiLevelType w:val="multilevel"/>
    <w:tmpl w:val="E8FE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893670">
    <w:abstractNumId w:val="1"/>
  </w:num>
  <w:num w:numId="2" w16cid:durableId="238180470">
    <w:abstractNumId w:val="3"/>
  </w:num>
  <w:num w:numId="3" w16cid:durableId="157497872">
    <w:abstractNumId w:val="2"/>
  </w:num>
  <w:num w:numId="4" w16cid:durableId="130554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A9"/>
    <w:rsid w:val="0003412A"/>
    <w:rsid w:val="00035212"/>
    <w:rsid w:val="00037946"/>
    <w:rsid w:val="00057D4C"/>
    <w:rsid w:val="0006269F"/>
    <w:rsid w:val="000A29F3"/>
    <w:rsid w:val="000E7368"/>
    <w:rsid w:val="00150CCD"/>
    <w:rsid w:val="00172C27"/>
    <w:rsid w:val="001D248D"/>
    <w:rsid w:val="001E6027"/>
    <w:rsid w:val="003A0F1B"/>
    <w:rsid w:val="00466A52"/>
    <w:rsid w:val="004A5739"/>
    <w:rsid w:val="004C440C"/>
    <w:rsid w:val="004D3474"/>
    <w:rsid w:val="004F58F2"/>
    <w:rsid w:val="005902C5"/>
    <w:rsid w:val="005D07B7"/>
    <w:rsid w:val="005D40AD"/>
    <w:rsid w:val="005F0330"/>
    <w:rsid w:val="006771BF"/>
    <w:rsid w:val="006C7F67"/>
    <w:rsid w:val="006E5897"/>
    <w:rsid w:val="00702C51"/>
    <w:rsid w:val="007418FA"/>
    <w:rsid w:val="007D22F7"/>
    <w:rsid w:val="007E2C3F"/>
    <w:rsid w:val="00811BD5"/>
    <w:rsid w:val="00822AE1"/>
    <w:rsid w:val="008B2810"/>
    <w:rsid w:val="008E2AF3"/>
    <w:rsid w:val="009126CC"/>
    <w:rsid w:val="009708EA"/>
    <w:rsid w:val="009A3A70"/>
    <w:rsid w:val="009C1A0C"/>
    <w:rsid w:val="00A136A9"/>
    <w:rsid w:val="00B057D8"/>
    <w:rsid w:val="00C361CD"/>
    <w:rsid w:val="00C42E75"/>
    <w:rsid w:val="00C53F43"/>
    <w:rsid w:val="00DC390B"/>
    <w:rsid w:val="00EA263E"/>
    <w:rsid w:val="00F173D8"/>
    <w:rsid w:val="00F226FC"/>
    <w:rsid w:val="00FB2E5A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879DFC"/>
  <w15:chartTrackingRefBased/>
  <w15:docId w15:val="{87E46D30-C012-4BD5-B68B-28AD2071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6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79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9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8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.wa.gov/legislators/member/27182" TargetMode="External"/><Relationship Id="rId13" Type="http://schemas.openxmlformats.org/officeDocument/2006/relationships/hyperlink" Target="https://leg.wa.gov/legislators/member/29092" TargetMode="External"/><Relationship Id="rId18" Type="http://schemas.openxmlformats.org/officeDocument/2006/relationships/hyperlink" Target="https://leg.wa.gov/legislators/member/2910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eg.wa.gov/legislators/member/29102" TargetMode="External"/><Relationship Id="rId12" Type="http://schemas.openxmlformats.org/officeDocument/2006/relationships/hyperlink" Target="https://leg.wa.gov/legislators/member/34033" TargetMode="External"/><Relationship Id="rId17" Type="http://schemas.openxmlformats.org/officeDocument/2006/relationships/hyperlink" Target="https://leg.wa.gov/legislators/member/92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.wa.gov/legislators/member/3476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g.wa.gov/legislators/member/29109" TargetMode="External"/><Relationship Id="rId11" Type="http://schemas.openxmlformats.org/officeDocument/2006/relationships/hyperlink" Target="https://leg.wa.gov/legislators/member/30127" TargetMode="External"/><Relationship Id="rId5" Type="http://schemas.openxmlformats.org/officeDocument/2006/relationships/hyperlink" Target="https://app.leg.wa.gov/BillSummary/?BillNumber=1072&amp;Year=2025&amp;Initiative=false" TargetMode="External"/><Relationship Id="rId15" Type="http://schemas.openxmlformats.org/officeDocument/2006/relationships/hyperlink" Target="https://leg.wa.gov/legislators/member/16596" TargetMode="External"/><Relationship Id="rId10" Type="http://schemas.openxmlformats.org/officeDocument/2006/relationships/hyperlink" Target="https://leg.wa.gov/legislators/member/15736" TargetMode="External"/><Relationship Id="rId19" Type="http://schemas.openxmlformats.org/officeDocument/2006/relationships/hyperlink" Target="https://leg.wa.gov/legislators/member/354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.wa.gov/legislators/member/31534" TargetMode="External"/><Relationship Id="rId14" Type="http://schemas.openxmlformats.org/officeDocument/2006/relationships/hyperlink" Target="https://leg.wa.gov/legislators/member/1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Cozzens</dc:creator>
  <cp:keywords/>
  <dc:description/>
  <cp:lastModifiedBy>Susan Cozzens</cp:lastModifiedBy>
  <cp:revision>39</cp:revision>
  <dcterms:created xsi:type="dcterms:W3CDTF">2026-01-24T12:23:00Z</dcterms:created>
  <dcterms:modified xsi:type="dcterms:W3CDTF">2026-01-24T16:52:00Z</dcterms:modified>
</cp:coreProperties>
</file>