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7C8B" w14:textId="3C559A18" w:rsidR="00B73390" w:rsidRDefault="00DB349B" w:rsidP="00460743">
      <w:pPr>
        <w:tabs>
          <w:tab w:val="left" w:pos="360"/>
        </w:tabs>
        <w:spacing w:after="0" w:line="240" w:lineRule="auto"/>
        <w:ind w:left="360" w:right="-547" w:hanging="360"/>
        <w:rPr>
          <w:rFonts w:ascii="Aptos" w:eastAsia="Times New Roman" w:hAnsi="Aptos" w:cstheme="minorHAnsi"/>
          <w:b/>
          <w:bCs/>
          <w:sz w:val="28"/>
          <w:szCs w:val="28"/>
        </w:rPr>
      </w:pPr>
      <w:r w:rsidRPr="00DB349B">
        <w:rPr>
          <w:rFonts w:ascii="Aptos" w:eastAsia="Times New Roman" w:hAnsi="Aptos" w:cstheme="minorHAnsi"/>
          <w:b/>
          <w:bCs/>
          <w:color w:val="000000" w:themeColor="text1"/>
          <w:sz w:val="28"/>
          <w:szCs w:val="28"/>
        </w:rPr>
        <w:t>Resentencing without Juvenile Offenses</w:t>
      </w:r>
      <w:r>
        <w:rPr>
          <w:rFonts w:ascii="Aptos" w:eastAsia="Times New Roman" w:hAnsi="Aptos" w:cstheme="minorHAnsi"/>
          <w:b/>
          <w:bCs/>
          <w:sz w:val="28"/>
          <w:szCs w:val="28"/>
        </w:rPr>
        <w:t xml:space="preserve"> (the </w:t>
      </w:r>
      <w:r w:rsidR="00C149DC">
        <w:rPr>
          <w:rFonts w:ascii="Aptos" w:eastAsia="Times New Roman" w:hAnsi="Aptos" w:cstheme="minorHAnsi"/>
          <w:b/>
          <w:bCs/>
          <w:sz w:val="28"/>
          <w:szCs w:val="28"/>
        </w:rPr>
        <w:t>“</w:t>
      </w:r>
      <w:r w:rsidR="007D7FF7">
        <w:rPr>
          <w:rFonts w:ascii="Aptos" w:eastAsia="Times New Roman" w:hAnsi="Aptos" w:cstheme="minorHAnsi"/>
          <w:b/>
          <w:bCs/>
          <w:sz w:val="28"/>
          <w:szCs w:val="28"/>
        </w:rPr>
        <w:t>Juvenile Points Bill</w:t>
      </w:r>
      <w:r w:rsidR="00C149DC">
        <w:rPr>
          <w:rFonts w:ascii="Aptos" w:eastAsia="Times New Roman" w:hAnsi="Aptos" w:cstheme="minorHAnsi"/>
          <w:b/>
          <w:bCs/>
          <w:sz w:val="28"/>
          <w:szCs w:val="28"/>
        </w:rPr>
        <w:t>”</w:t>
      </w:r>
      <w:r>
        <w:rPr>
          <w:rFonts w:ascii="Aptos" w:eastAsia="Times New Roman" w:hAnsi="Aptos" w:cstheme="minorHAnsi"/>
          <w:b/>
          <w:bCs/>
          <w:sz w:val="28"/>
          <w:szCs w:val="28"/>
        </w:rPr>
        <w:t>)</w:t>
      </w:r>
    </w:p>
    <w:p w14:paraId="299E0C11" w14:textId="49704A46" w:rsidR="00460743" w:rsidRPr="00460743" w:rsidRDefault="00460743" w:rsidP="00B73390">
      <w:pPr>
        <w:tabs>
          <w:tab w:val="left" w:pos="360"/>
        </w:tabs>
        <w:spacing w:after="120" w:line="240" w:lineRule="auto"/>
        <w:ind w:left="360" w:right="-547" w:hanging="360"/>
        <w:rPr>
          <w:rFonts w:ascii="Aptos" w:eastAsia="Times New Roman" w:hAnsi="Aptos" w:cstheme="minorHAnsi"/>
          <w:b/>
          <w:bCs/>
          <w:sz w:val="16"/>
          <w:szCs w:val="16"/>
        </w:rPr>
      </w:pPr>
      <w:r w:rsidRPr="00460743">
        <w:rPr>
          <w:rFonts w:ascii="Aptos" w:eastAsia="Times New Roman" w:hAnsi="Aptos" w:cstheme="minorHAnsi"/>
          <w:b/>
          <w:bCs/>
          <w:sz w:val="16"/>
          <w:szCs w:val="16"/>
        </w:rPr>
        <w:t>_______________________________________________________________________</w:t>
      </w:r>
      <w:r w:rsidR="00137A54">
        <w:rPr>
          <w:rFonts w:ascii="Aptos" w:eastAsia="Times New Roman" w:hAnsi="Aptos" w:cstheme="minorHAnsi"/>
          <w:b/>
          <w:bCs/>
          <w:sz w:val="16"/>
          <w:szCs w:val="16"/>
        </w:rPr>
        <w:t>_______________________________________</w:t>
      </w:r>
    </w:p>
    <w:p w14:paraId="0C06E8BD" w14:textId="7C64B771" w:rsidR="00B73390" w:rsidRDefault="004A763B" w:rsidP="00B73390">
      <w:pPr>
        <w:spacing w:after="120"/>
        <w:ind w:right="-547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hyperlink r:id="rId5" w:history="1">
        <w:r w:rsidR="00B73390" w:rsidRPr="004A763B">
          <w:rPr>
            <w:rStyle w:val="Hyperlink"/>
            <w:rFonts w:ascii="Aptos" w:eastAsia="Times New Roman" w:hAnsi="Aptos" w:cstheme="minorHAnsi"/>
            <w:b/>
            <w:bCs/>
            <w:sz w:val="24"/>
            <w:szCs w:val="24"/>
          </w:rPr>
          <w:t>House Bill 1</w:t>
        </w:r>
        <w:r w:rsidR="007D7FF7" w:rsidRPr="004A763B">
          <w:rPr>
            <w:rStyle w:val="Hyperlink"/>
            <w:rFonts w:ascii="Aptos" w:eastAsia="Times New Roman" w:hAnsi="Aptos" w:cstheme="minorHAnsi"/>
            <w:b/>
            <w:bCs/>
            <w:sz w:val="24"/>
            <w:szCs w:val="24"/>
          </w:rPr>
          <w:t>274</w:t>
        </w:r>
      </w:hyperlink>
      <w:r w:rsid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.  </w:t>
      </w:r>
      <w:r w:rsidR="00B73390" w:rsidRP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>Sponsors:</w:t>
      </w:r>
      <w:r w:rsid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Representatives</w:t>
      </w:r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  <w:hyperlink r:id="rId6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Stearns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7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Hackney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8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Doglio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9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Ramel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0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Reed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1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Ormsby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2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Parshley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3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Pollet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4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Macri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5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Simmons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6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Hill</w:t>
        </w:r>
      </w:hyperlink>
      <w:r w:rsidR="00C1195A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.  </w:t>
      </w:r>
    </w:p>
    <w:p w14:paraId="32636875" w14:textId="11346824" w:rsidR="00B73390" w:rsidRDefault="006C607F" w:rsidP="00B73390">
      <w:pPr>
        <w:ind w:right="-540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hyperlink r:id="rId17" w:history="1">
        <w:r w:rsidR="007D7FF7" w:rsidRPr="006C607F">
          <w:rPr>
            <w:rStyle w:val="Hyperlink"/>
            <w:rFonts w:ascii="Aptos" w:eastAsia="Times New Roman" w:hAnsi="Aptos" w:cstheme="minorHAnsi"/>
            <w:sz w:val="24"/>
            <w:szCs w:val="24"/>
          </w:rPr>
          <w:t>Senate Bill 5715</w:t>
        </w:r>
      </w:hyperlink>
      <w:r w:rsid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.  Senators </w:t>
      </w:r>
      <w:hyperlink r:id="rId18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Kauffman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9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Frame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0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Hasegawa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1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Nobles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2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Trudeau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3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Valdez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4" w:history="1">
        <w:r w:rsidR="007D7FF7" w:rsidRPr="007D7FF7">
          <w:rPr>
            <w:rStyle w:val="Hyperlink"/>
            <w:rFonts w:ascii="Aptos" w:eastAsia="Times New Roman" w:hAnsi="Aptos" w:cstheme="minorHAnsi"/>
            <w:sz w:val="24"/>
            <w:szCs w:val="24"/>
          </w:rPr>
          <w:t>Wilson, C.</w:t>
        </w:r>
      </w:hyperlink>
      <w:r w:rsidR="007D7FF7" w:rsidRP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  <w:r w:rsidR="007D7FF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</w:p>
    <w:p w14:paraId="7EFE651A" w14:textId="4E99346D" w:rsidR="00137A54" w:rsidRDefault="00137A54" w:rsidP="00B73390">
      <w:pPr>
        <w:ind w:right="-540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>Note: The House bill is the principal vehicle for this bill.</w:t>
      </w:r>
    </w:p>
    <w:p w14:paraId="20E50B21" w14:textId="77777777" w:rsidR="00CE0D79" w:rsidRDefault="00460743" w:rsidP="00CE0D79">
      <w:pPr>
        <w:spacing w:line="360" w:lineRule="auto"/>
        <w:ind w:left="360" w:right="-547" w:hanging="360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 w:rsidRPr="00CE0D79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Brief Summary of Bill:</w:t>
      </w:r>
    </w:p>
    <w:p w14:paraId="4523D92C" w14:textId="2824A545" w:rsidR="00DB349B" w:rsidRPr="00CE0D79" w:rsidRDefault="00DB349B" w:rsidP="00CE0D79">
      <w:pPr>
        <w:pStyle w:val="ListParagraph"/>
        <w:numPr>
          <w:ilvl w:val="0"/>
          <w:numId w:val="2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 w:rsidRPr="00CE0D79">
        <w:rPr>
          <w:rFonts w:ascii="Aptos" w:eastAsia="Times New Roman" w:hAnsi="Aptos" w:cstheme="minorHAnsi"/>
          <w:color w:val="000000" w:themeColor="text1"/>
          <w:sz w:val="24"/>
          <w:szCs w:val="24"/>
        </w:rPr>
        <w:t>A law passed several years ago specifies that in the future, certain specified previous convictions as a juvenile would not be counted in determining the length of a sentence</w:t>
      </w:r>
      <w:r w:rsidR="00C1195A" w:rsidRPr="00CE0D79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for a crime committed as an adult</w:t>
      </w:r>
      <w:r w:rsidRPr="00CE0D79">
        <w:rPr>
          <w:rFonts w:ascii="Aptos" w:eastAsia="Times New Roman" w:hAnsi="Aptos" w:cstheme="minorHAnsi"/>
          <w:color w:val="000000" w:themeColor="text1"/>
          <w:sz w:val="24"/>
          <w:szCs w:val="24"/>
        </w:rPr>
        <w:t>.</w:t>
      </w:r>
    </w:p>
    <w:p w14:paraId="6A50AB28" w14:textId="7D3CE8B9" w:rsidR="00DB349B" w:rsidRPr="00DB349B" w:rsidRDefault="00DB349B" w:rsidP="00DB349B">
      <w:pPr>
        <w:pStyle w:val="ListParagraph"/>
        <w:numPr>
          <w:ilvl w:val="0"/>
          <w:numId w:val="2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 w:rsidRPr="00DB349B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HB 1274 would make that law </w:t>
      </w:r>
      <w:r w:rsidRPr="00147C0C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retroactive</w:t>
      </w:r>
      <w:r w:rsidRPr="00DB349B">
        <w:rPr>
          <w:rFonts w:ascii="Aptos" w:eastAsia="Times New Roman" w:hAnsi="Aptos" w:cstheme="minorHAnsi"/>
          <w:color w:val="000000" w:themeColor="text1"/>
          <w:sz w:val="24"/>
          <w:szCs w:val="24"/>
        </w:rPr>
        <w:t>, i.e., sentences would be recalculated for persons already incarcerated when that law was passed.</w:t>
      </w:r>
    </w:p>
    <w:p w14:paraId="246947E0" w14:textId="7B5A9C22" w:rsidR="00B73390" w:rsidRPr="00DB349B" w:rsidRDefault="009104E4" w:rsidP="00DB349B">
      <w:pPr>
        <w:ind w:right="-547"/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Fiscal a</w:t>
      </w:r>
      <w:r w:rsidR="00AB391F" w:rsidRPr="00F31DF1">
        <w:rPr>
          <w:rFonts w:ascii="Aptos" w:hAnsi="Aptos"/>
          <w:b/>
          <w:bCs/>
          <w:sz w:val="24"/>
          <w:szCs w:val="24"/>
        </w:rPr>
        <w:t>ppropriation</w:t>
      </w:r>
      <w:r>
        <w:rPr>
          <w:rFonts w:ascii="Aptos" w:hAnsi="Aptos"/>
          <w:b/>
          <w:bCs/>
          <w:sz w:val="24"/>
          <w:szCs w:val="24"/>
        </w:rPr>
        <w:t xml:space="preserve"> requested: </w:t>
      </w:r>
      <w:r w:rsidR="00DB349B">
        <w:rPr>
          <w:rFonts w:ascii="Aptos" w:hAnsi="Aptos"/>
          <w:b/>
          <w:bCs/>
          <w:sz w:val="24"/>
          <w:szCs w:val="24"/>
        </w:rPr>
        <w:t>about $3 million over four</w:t>
      </w:r>
      <w:r>
        <w:rPr>
          <w:rFonts w:ascii="Aptos" w:hAnsi="Aptos"/>
          <w:b/>
          <w:bCs/>
          <w:sz w:val="24"/>
          <w:szCs w:val="24"/>
        </w:rPr>
        <w:t xml:space="preserve"> years</w:t>
      </w:r>
      <w:r w:rsidR="00AB391F" w:rsidRPr="00F31DF1">
        <w:rPr>
          <w:rFonts w:ascii="Aptos" w:hAnsi="Aptos"/>
          <w:b/>
          <w:bCs/>
          <w:sz w:val="24"/>
          <w:szCs w:val="24"/>
        </w:rPr>
        <w:t>.</w:t>
      </w:r>
    </w:p>
    <w:p w14:paraId="0E105AC0" w14:textId="40666633" w:rsidR="00AB391F" w:rsidRDefault="00C34187">
      <w:pPr>
        <w:rPr>
          <w:rFonts w:ascii="Aptos" w:hAnsi="Aptos"/>
          <w:sz w:val="24"/>
          <w:szCs w:val="24"/>
        </w:rPr>
      </w:pPr>
      <w:r w:rsidRPr="00EB0681">
        <w:rPr>
          <w:rFonts w:ascii="Aptos" w:hAnsi="Aptos"/>
          <w:sz w:val="24"/>
          <w:szCs w:val="24"/>
          <w:highlight w:val="yellow"/>
        </w:rPr>
        <w:t xml:space="preserve">Note: </w:t>
      </w:r>
      <w:r w:rsidR="00F31DF1" w:rsidRPr="00EB0681">
        <w:rPr>
          <w:rFonts w:ascii="Aptos" w:hAnsi="Aptos"/>
          <w:sz w:val="24"/>
          <w:szCs w:val="24"/>
          <w:highlight w:val="yellow"/>
        </w:rPr>
        <w:t>Currently</w:t>
      </w:r>
      <w:r w:rsidR="005E591E" w:rsidRPr="00EB0681">
        <w:rPr>
          <w:rFonts w:ascii="Aptos" w:hAnsi="Aptos"/>
          <w:sz w:val="24"/>
          <w:szCs w:val="24"/>
          <w:highlight w:val="yellow"/>
        </w:rPr>
        <w:t xml:space="preserve"> </w:t>
      </w:r>
      <w:r w:rsidR="005E591E" w:rsidRPr="00EB0681">
        <w:rPr>
          <w:rFonts w:ascii="Aptos" w:hAnsi="Aptos"/>
          <w:b/>
          <w:bCs/>
          <w:sz w:val="24"/>
          <w:szCs w:val="24"/>
          <w:highlight w:val="yellow"/>
        </w:rPr>
        <w:t>HB 1274</w:t>
      </w:r>
      <w:r w:rsidR="005E591E" w:rsidRPr="00EB0681">
        <w:rPr>
          <w:rFonts w:ascii="Aptos" w:hAnsi="Aptos"/>
          <w:sz w:val="24"/>
          <w:szCs w:val="24"/>
          <w:highlight w:val="yellow"/>
        </w:rPr>
        <w:t xml:space="preserve"> is</w:t>
      </w:r>
      <w:r w:rsidR="00F31DF1" w:rsidRPr="00EB0681">
        <w:rPr>
          <w:rFonts w:ascii="Aptos" w:hAnsi="Aptos"/>
          <w:sz w:val="24"/>
          <w:szCs w:val="24"/>
          <w:highlight w:val="yellow"/>
        </w:rPr>
        <w:t xml:space="preserve"> i</w:t>
      </w:r>
      <w:r w:rsidR="00AB391F" w:rsidRPr="00EB0681">
        <w:rPr>
          <w:rFonts w:ascii="Aptos" w:hAnsi="Aptos"/>
          <w:sz w:val="24"/>
          <w:szCs w:val="24"/>
          <w:highlight w:val="yellow"/>
        </w:rPr>
        <w:t xml:space="preserve">n </w:t>
      </w:r>
      <w:r w:rsidR="00AB391F" w:rsidRPr="00EB0681">
        <w:rPr>
          <w:rFonts w:ascii="Aptos" w:hAnsi="Aptos"/>
          <w:b/>
          <w:bCs/>
          <w:sz w:val="24"/>
          <w:szCs w:val="24"/>
          <w:highlight w:val="yellow"/>
        </w:rPr>
        <w:t xml:space="preserve">House </w:t>
      </w:r>
      <w:r w:rsidR="00E43164" w:rsidRPr="00EB0681">
        <w:rPr>
          <w:rFonts w:ascii="Aptos" w:hAnsi="Aptos"/>
          <w:b/>
          <w:bCs/>
          <w:sz w:val="24"/>
          <w:szCs w:val="24"/>
          <w:highlight w:val="yellow"/>
        </w:rPr>
        <w:t>Appro</w:t>
      </w:r>
      <w:r w:rsidR="009104E4" w:rsidRPr="00EB0681">
        <w:rPr>
          <w:rFonts w:ascii="Aptos" w:hAnsi="Aptos"/>
          <w:b/>
          <w:bCs/>
          <w:sz w:val="24"/>
          <w:szCs w:val="24"/>
          <w:highlight w:val="yellow"/>
        </w:rPr>
        <w:t>p</w:t>
      </w:r>
      <w:r w:rsidR="00E43164" w:rsidRPr="00EB0681">
        <w:rPr>
          <w:rFonts w:ascii="Aptos" w:hAnsi="Aptos"/>
          <w:b/>
          <w:bCs/>
          <w:sz w:val="24"/>
          <w:szCs w:val="24"/>
          <w:highlight w:val="yellow"/>
        </w:rPr>
        <w:t>riations</w:t>
      </w:r>
      <w:r w:rsidR="00AB391F" w:rsidRPr="00EB0681">
        <w:rPr>
          <w:rFonts w:ascii="Aptos" w:hAnsi="Aptos"/>
          <w:b/>
          <w:bCs/>
          <w:sz w:val="24"/>
          <w:szCs w:val="24"/>
          <w:highlight w:val="yellow"/>
        </w:rPr>
        <w:t xml:space="preserve"> Committee</w:t>
      </w:r>
      <w:r w:rsidR="00C704BF" w:rsidRPr="00EB0681">
        <w:rPr>
          <w:rFonts w:ascii="Aptos" w:hAnsi="Aptos"/>
          <w:sz w:val="24"/>
          <w:szCs w:val="24"/>
          <w:highlight w:val="yellow"/>
        </w:rPr>
        <w:t xml:space="preserve">; </w:t>
      </w:r>
      <w:r w:rsidR="005E591E" w:rsidRPr="00EB0681">
        <w:rPr>
          <w:rFonts w:ascii="Aptos" w:hAnsi="Aptos"/>
          <w:sz w:val="24"/>
          <w:szCs w:val="24"/>
          <w:highlight w:val="yellow"/>
        </w:rPr>
        <w:t xml:space="preserve">it </w:t>
      </w:r>
      <w:r w:rsidR="009670C6" w:rsidRPr="00EB0681">
        <w:rPr>
          <w:rFonts w:ascii="Aptos" w:hAnsi="Aptos"/>
          <w:sz w:val="24"/>
          <w:szCs w:val="24"/>
          <w:highlight w:val="yellow"/>
        </w:rPr>
        <w:t>passed this committee last year, but must pass again.</w:t>
      </w:r>
      <w:r w:rsidR="005E591E" w:rsidRPr="00EB0681">
        <w:rPr>
          <w:rFonts w:ascii="Aptos" w:hAnsi="Aptos"/>
          <w:sz w:val="24"/>
          <w:szCs w:val="24"/>
          <w:highlight w:val="yellow"/>
        </w:rPr>
        <w:t xml:space="preserve">  Its companion bill, SB 5715, is in the Senate Law and Justice Committee.</w:t>
      </w:r>
    </w:p>
    <w:p w14:paraId="2009C774" w14:textId="3C407960" w:rsidR="008A7F50" w:rsidRDefault="008A7F50">
      <w:pPr>
        <w:rPr>
          <w:rFonts w:ascii="Aptos" w:hAnsi="Aptos"/>
          <w:sz w:val="24"/>
          <w:szCs w:val="24"/>
        </w:rPr>
      </w:pPr>
      <w:r w:rsidRPr="00C1195A">
        <w:rPr>
          <w:rFonts w:ascii="Aptos" w:hAnsi="Aptos"/>
          <w:b/>
          <w:bCs/>
          <w:sz w:val="24"/>
          <w:szCs w:val="24"/>
        </w:rPr>
        <w:t>PRO</w:t>
      </w:r>
      <w:r>
        <w:rPr>
          <w:rFonts w:ascii="Aptos" w:hAnsi="Aptos"/>
          <w:sz w:val="24"/>
          <w:szCs w:val="24"/>
        </w:rPr>
        <w:t xml:space="preserve">: The </w:t>
      </w:r>
      <w:r w:rsidRPr="00147C0C">
        <w:rPr>
          <w:rFonts w:ascii="Aptos" w:hAnsi="Aptos"/>
          <w:b/>
          <w:bCs/>
          <w:sz w:val="24"/>
          <w:szCs w:val="24"/>
        </w:rPr>
        <w:t>main principle</w:t>
      </w:r>
      <w:r>
        <w:rPr>
          <w:rFonts w:ascii="Aptos" w:hAnsi="Aptos"/>
          <w:sz w:val="24"/>
          <w:szCs w:val="24"/>
        </w:rPr>
        <w:t xml:space="preserve"> of th</w:t>
      </w:r>
      <w:r w:rsidR="00502409">
        <w:rPr>
          <w:rFonts w:ascii="Aptos" w:hAnsi="Aptos"/>
          <w:sz w:val="24"/>
          <w:szCs w:val="24"/>
        </w:rPr>
        <w:t>is</w:t>
      </w:r>
      <w:r>
        <w:rPr>
          <w:rFonts w:ascii="Aptos" w:hAnsi="Aptos"/>
          <w:sz w:val="24"/>
          <w:szCs w:val="24"/>
        </w:rPr>
        <w:t xml:space="preserve"> bill – that </w:t>
      </w:r>
      <w:r w:rsidR="00502409">
        <w:rPr>
          <w:rFonts w:ascii="Aptos" w:hAnsi="Aptos"/>
          <w:sz w:val="24"/>
          <w:szCs w:val="24"/>
        </w:rPr>
        <w:t xml:space="preserve">specified convictions as a juvenile should not be counted in determining the length of sentences in the future – </w:t>
      </w:r>
      <w:r w:rsidR="00502409" w:rsidRPr="00147C0C">
        <w:rPr>
          <w:rFonts w:ascii="Aptos" w:hAnsi="Aptos"/>
          <w:b/>
          <w:bCs/>
          <w:sz w:val="24"/>
          <w:szCs w:val="24"/>
        </w:rPr>
        <w:t>has already being enacted</w:t>
      </w:r>
      <w:r w:rsidR="00502409">
        <w:rPr>
          <w:rFonts w:ascii="Aptos" w:hAnsi="Aptos"/>
          <w:sz w:val="24"/>
          <w:szCs w:val="24"/>
        </w:rPr>
        <w:t xml:space="preserve"> into law.  It is only </w:t>
      </w:r>
      <w:r w:rsidR="00502409" w:rsidRPr="00147C0C">
        <w:rPr>
          <w:rFonts w:ascii="Aptos" w:hAnsi="Aptos"/>
          <w:b/>
          <w:bCs/>
          <w:sz w:val="24"/>
          <w:szCs w:val="24"/>
        </w:rPr>
        <w:t>fair that it also apply to persons now in prison</w:t>
      </w:r>
      <w:r w:rsidR="00502409">
        <w:rPr>
          <w:rFonts w:ascii="Aptos" w:hAnsi="Aptos"/>
          <w:sz w:val="24"/>
          <w:szCs w:val="24"/>
        </w:rPr>
        <w:t>.</w:t>
      </w:r>
    </w:p>
    <w:p w14:paraId="34EBFE99" w14:textId="6E49F7F2" w:rsidR="008A7F50" w:rsidRDefault="00502409" w:rsidP="008A7F5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This bill would help</w:t>
      </w:r>
      <w:r w:rsidR="008A7F50">
        <w:rPr>
          <w:rFonts w:ascii="Aptos" w:hAnsi="Aptos"/>
          <w:sz w:val="24"/>
          <w:szCs w:val="24"/>
        </w:rPr>
        <w:t xml:space="preserve"> </w:t>
      </w:r>
      <w:r w:rsidR="008A7F50" w:rsidRPr="00147C0C">
        <w:rPr>
          <w:rFonts w:ascii="Aptos" w:hAnsi="Aptos"/>
          <w:b/>
          <w:bCs/>
          <w:sz w:val="24"/>
          <w:szCs w:val="24"/>
        </w:rPr>
        <w:t xml:space="preserve">address the historic </w:t>
      </w:r>
      <w:r w:rsidR="00C34187" w:rsidRPr="00147C0C">
        <w:rPr>
          <w:rFonts w:ascii="Aptos" w:hAnsi="Aptos"/>
          <w:b/>
          <w:bCs/>
          <w:sz w:val="24"/>
          <w:szCs w:val="24"/>
        </w:rPr>
        <w:t xml:space="preserve">racial </w:t>
      </w:r>
      <w:r w:rsidR="008A7F50" w:rsidRPr="00147C0C">
        <w:rPr>
          <w:rFonts w:ascii="Aptos" w:hAnsi="Aptos"/>
          <w:b/>
          <w:bCs/>
          <w:sz w:val="24"/>
          <w:szCs w:val="24"/>
        </w:rPr>
        <w:t>disproportionalities</w:t>
      </w:r>
      <w:r w:rsidR="008A7F50" w:rsidRPr="008A7F50">
        <w:rPr>
          <w:rFonts w:ascii="Aptos" w:hAnsi="Aptos"/>
          <w:sz w:val="24"/>
          <w:szCs w:val="24"/>
        </w:rPr>
        <w:t xml:space="preserve"> caused by the pr</w:t>
      </w:r>
      <w:r>
        <w:rPr>
          <w:rFonts w:ascii="Aptos" w:hAnsi="Aptos"/>
          <w:sz w:val="24"/>
          <w:szCs w:val="24"/>
        </w:rPr>
        <w:t>evious</w:t>
      </w:r>
      <w:r w:rsidR="008A7F50" w:rsidRPr="008A7F50">
        <w:rPr>
          <w:rFonts w:ascii="Aptos" w:hAnsi="Aptos"/>
          <w:sz w:val="24"/>
          <w:szCs w:val="24"/>
        </w:rPr>
        <w:t xml:space="preserve"> offender scoring system</w:t>
      </w:r>
      <w:r>
        <w:rPr>
          <w:rFonts w:ascii="Aptos" w:hAnsi="Aptos"/>
          <w:sz w:val="24"/>
          <w:szCs w:val="24"/>
        </w:rPr>
        <w:t>.</w:t>
      </w:r>
    </w:p>
    <w:p w14:paraId="20770A92" w14:textId="093B935B" w:rsidR="00426A4B" w:rsidRDefault="00426A4B" w:rsidP="00426A4B">
      <w:pPr>
        <w:rPr>
          <w:rFonts w:ascii="Aptos" w:hAnsi="Aptos"/>
          <w:sz w:val="24"/>
          <w:szCs w:val="24"/>
        </w:rPr>
      </w:pPr>
      <w:r w:rsidRPr="00147C0C">
        <w:rPr>
          <w:rFonts w:ascii="Aptos" w:hAnsi="Aptos"/>
          <w:b/>
          <w:bCs/>
          <w:sz w:val="24"/>
          <w:szCs w:val="24"/>
        </w:rPr>
        <w:t xml:space="preserve">700 to 850 people </w:t>
      </w:r>
      <w:r w:rsidR="00137A54" w:rsidRPr="00147C0C">
        <w:rPr>
          <w:rFonts w:ascii="Aptos" w:hAnsi="Aptos"/>
          <w:b/>
          <w:bCs/>
          <w:sz w:val="24"/>
          <w:szCs w:val="24"/>
        </w:rPr>
        <w:t>c</w:t>
      </w:r>
      <w:r w:rsidRPr="00147C0C">
        <w:rPr>
          <w:rFonts w:ascii="Aptos" w:hAnsi="Aptos"/>
          <w:b/>
          <w:bCs/>
          <w:sz w:val="24"/>
          <w:szCs w:val="24"/>
        </w:rPr>
        <w:t>ould be eligible</w:t>
      </w:r>
      <w:r w:rsidRPr="00426A4B">
        <w:rPr>
          <w:rFonts w:ascii="Aptos" w:hAnsi="Aptos"/>
          <w:sz w:val="24"/>
          <w:szCs w:val="24"/>
        </w:rPr>
        <w:t>, and on average their sentences would be reduced by</w:t>
      </w:r>
      <w:r>
        <w:rPr>
          <w:rFonts w:ascii="Aptos" w:hAnsi="Aptos"/>
          <w:sz w:val="24"/>
          <w:szCs w:val="24"/>
        </w:rPr>
        <w:t xml:space="preserve"> </w:t>
      </w:r>
      <w:r w:rsidRPr="00426A4B">
        <w:rPr>
          <w:rFonts w:ascii="Aptos" w:hAnsi="Aptos"/>
          <w:sz w:val="24"/>
          <w:szCs w:val="24"/>
        </w:rPr>
        <w:t>about 107 months</w:t>
      </w:r>
      <w:r w:rsidR="00C1195A">
        <w:rPr>
          <w:rFonts w:ascii="Aptos" w:hAnsi="Aptos"/>
          <w:sz w:val="24"/>
          <w:szCs w:val="24"/>
        </w:rPr>
        <w:t xml:space="preserve"> (the Office of Public Defense)</w:t>
      </w:r>
      <w:r>
        <w:rPr>
          <w:rFonts w:ascii="Aptos" w:hAnsi="Aptos"/>
          <w:sz w:val="24"/>
          <w:szCs w:val="24"/>
        </w:rPr>
        <w:t>.  The workload would be spread over several years.  In the end, the shortening of sentences would save millions of dollars.</w:t>
      </w:r>
    </w:p>
    <w:p w14:paraId="1DFCB5B4" w14:textId="47B0E623" w:rsidR="00502409" w:rsidRPr="00AB391F" w:rsidRDefault="00502409" w:rsidP="00426A4B">
      <w:pPr>
        <w:rPr>
          <w:rFonts w:ascii="Aptos" w:hAnsi="Aptos"/>
          <w:sz w:val="24"/>
          <w:szCs w:val="24"/>
        </w:rPr>
      </w:pPr>
      <w:r w:rsidRPr="00C1195A">
        <w:rPr>
          <w:rFonts w:ascii="Aptos" w:hAnsi="Aptos"/>
          <w:b/>
          <w:bCs/>
          <w:sz w:val="24"/>
          <w:szCs w:val="24"/>
        </w:rPr>
        <w:t>CON</w:t>
      </w:r>
      <w:r>
        <w:rPr>
          <w:rFonts w:ascii="Aptos" w:hAnsi="Aptos"/>
          <w:sz w:val="24"/>
          <w:szCs w:val="24"/>
        </w:rPr>
        <w:t xml:space="preserve">: </w:t>
      </w:r>
      <w:r w:rsidR="00426A4B" w:rsidRPr="00147C0C">
        <w:rPr>
          <w:rFonts w:ascii="Aptos" w:hAnsi="Aptos"/>
          <w:b/>
          <w:bCs/>
          <w:sz w:val="24"/>
          <w:szCs w:val="24"/>
        </w:rPr>
        <w:t>Resentencing breaks promises to victims and families</w:t>
      </w:r>
      <w:r w:rsidR="00426A4B">
        <w:rPr>
          <w:rFonts w:ascii="Aptos" w:hAnsi="Aptos"/>
          <w:sz w:val="24"/>
          <w:szCs w:val="24"/>
        </w:rPr>
        <w:t>.  J</w:t>
      </w:r>
      <w:r w:rsidR="00426A4B" w:rsidRPr="00426A4B">
        <w:rPr>
          <w:rFonts w:ascii="Aptos" w:hAnsi="Aptos"/>
          <w:sz w:val="24"/>
          <w:szCs w:val="24"/>
        </w:rPr>
        <w:t xml:space="preserve">uvenile points only count when </w:t>
      </w:r>
      <w:r w:rsidR="00426A4B">
        <w:rPr>
          <w:rFonts w:ascii="Aptos" w:hAnsi="Aptos"/>
          <w:sz w:val="24"/>
          <w:szCs w:val="24"/>
        </w:rPr>
        <w:t>an individual is</w:t>
      </w:r>
      <w:r w:rsidR="00426A4B" w:rsidRPr="00426A4B">
        <w:rPr>
          <w:rFonts w:ascii="Aptos" w:hAnsi="Aptos"/>
          <w:sz w:val="24"/>
          <w:szCs w:val="24"/>
        </w:rPr>
        <w:t xml:space="preserve"> </w:t>
      </w:r>
      <w:r w:rsidR="00426A4B">
        <w:rPr>
          <w:rFonts w:ascii="Aptos" w:hAnsi="Aptos"/>
          <w:sz w:val="24"/>
          <w:szCs w:val="24"/>
        </w:rPr>
        <w:t xml:space="preserve">later </w:t>
      </w:r>
      <w:r w:rsidR="00426A4B" w:rsidRPr="00426A4B">
        <w:rPr>
          <w:rFonts w:ascii="Aptos" w:hAnsi="Aptos"/>
          <w:sz w:val="24"/>
          <w:szCs w:val="24"/>
        </w:rPr>
        <w:t>convicted of felonies</w:t>
      </w:r>
      <w:r w:rsidR="00426A4B">
        <w:rPr>
          <w:rFonts w:ascii="Aptos" w:hAnsi="Aptos"/>
          <w:sz w:val="24"/>
          <w:szCs w:val="24"/>
        </w:rPr>
        <w:t xml:space="preserve"> as an adult.  Court time should not be consumed with resentencing.</w:t>
      </w:r>
    </w:p>
    <w:sectPr w:rsidR="00502409" w:rsidRPr="00AB3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CE2"/>
    <w:multiLevelType w:val="hybridMultilevel"/>
    <w:tmpl w:val="9B02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273"/>
    <w:multiLevelType w:val="hybridMultilevel"/>
    <w:tmpl w:val="9F74A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817153">
    <w:abstractNumId w:val="0"/>
  </w:num>
  <w:num w:numId="2" w16cid:durableId="212345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90"/>
    <w:rsid w:val="00137A54"/>
    <w:rsid w:val="00147C0C"/>
    <w:rsid w:val="00182EDB"/>
    <w:rsid w:val="0028473B"/>
    <w:rsid w:val="002E5CA3"/>
    <w:rsid w:val="00394ABA"/>
    <w:rsid w:val="00426A4B"/>
    <w:rsid w:val="00444057"/>
    <w:rsid w:val="00460743"/>
    <w:rsid w:val="004A763B"/>
    <w:rsid w:val="004A7A99"/>
    <w:rsid w:val="00502409"/>
    <w:rsid w:val="005866D5"/>
    <w:rsid w:val="005E591E"/>
    <w:rsid w:val="006A25C4"/>
    <w:rsid w:val="006C607F"/>
    <w:rsid w:val="007032EC"/>
    <w:rsid w:val="00714F8C"/>
    <w:rsid w:val="0075364C"/>
    <w:rsid w:val="007D7FF7"/>
    <w:rsid w:val="008A7F50"/>
    <w:rsid w:val="009104E4"/>
    <w:rsid w:val="009670C6"/>
    <w:rsid w:val="00AB391F"/>
    <w:rsid w:val="00AF3CD2"/>
    <w:rsid w:val="00B73390"/>
    <w:rsid w:val="00C1195A"/>
    <w:rsid w:val="00C149DC"/>
    <w:rsid w:val="00C34187"/>
    <w:rsid w:val="00C704BF"/>
    <w:rsid w:val="00CE0D79"/>
    <w:rsid w:val="00DB349B"/>
    <w:rsid w:val="00E43164"/>
    <w:rsid w:val="00EB0681"/>
    <w:rsid w:val="00F3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5F60"/>
  <w15:chartTrackingRefBased/>
  <w15:docId w15:val="{0DE51C29-47B0-4388-A5DA-1040161C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90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3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3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3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3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3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3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.wa.gov/legislators/member/26175" TargetMode="External"/><Relationship Id="rId13" Type="http://schemas.openxmlformats.org/officeDocument/2006/relationships/hyperlink" Target="https://leg.wa.gov/legislators/member/16596" TargetMode="External"/><Relationship Id="rId18" Type="http://schemas.openxmlformats.org/officeDocument/2006/relationships/hyperlink" Target="https://leg.wa.gov/legislators/member/1207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eg.wa.gov/legislators/member/31536" TargetMode="External"/><Relationship Id="rId7" Type="http://schemas.openxmlformats.org/officeDocument/2006/relationships/hyperlink" Target="https://leg.wa.gov/legislators/member/31523" TargetMode="External"/><Relationship Id="rId12" Type="http://schemas.openxmlformats.org/officeDocument/2006/relationships/hyperlink" Target="https://leg.wa.gov/legislators/member/35415" TargetMode="External"/><Relationship Id="rId17" Type="http://schemas.openxmlformats.org/officeDocument/2006/relationships/hyperlink" Target="https://app.leg.wa.gov/BillSummary/?BillNumber=5715&amp;Year=2025&amp;Initiative=fals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eg.wa.gov/legislators/member/35429" TargetMode="External"/><Relationship Id="rId20" Type="http://schemas.openxmlformats.org/officeDocument/2006/relationships/hyperlink" Target="https://leg.wa.gov/legislators/member/1003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.wa.gov/legislators/member/34023" TargetMode="External"/><Relationship Id="rId11" Type="http://schemas.openxmlformats.org/officeDocument/2006/relationships/hyperlink" Target="https://leg.wa.gov/legislators/member/9207" TargetMode="External"/><Relationship Id="rId24" Type="http://schemas.openxmlformats.org/officeDocument/2006/relationships/hyperlink" Target="https://leg.wa.gov/legislators/member/29090" TargetMode="External"/><Relationship Id="rId5" Type="http://schemas.openxmlformats.org/officeDocument/2006/relationships/hyperlink" Target="https://app.leg.wa.gov/BillSummary/?BillNumber=1274&amp;Year=2025&amp;Initiative=false" TargetMode="External"/><Relationship Id="rId15" Type="http://schemas.openxmlformats.org/officeDocument/2006/relationships/hyperlink" Target="https://leg.wa.gov/legislators/member/31527" TargetMode="External"/><Relationship Id="rId23" Type="http://schemas.openxmlformats.org/officeDocument/2006/relationships/hyperlink" Target="https://leg.wa.gov/legislators/member/27975" TargetMode="External"/><Relationship Id="rId10" Type="http://schemas.openxmlformats.org/officeDocument/2006/relationships/hyperlink" Target="https://leg.wa.gov/legislators/member/34033" TargetMode="External"/><Relationship Id="rId19" Type="http://schemas.openxmlformats.org/officeDocument/2006/relationships/hyperlink" Target="https://leg.wa.gov/legislators/member/239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.wa.gov/legislators/member/30127" TargetMode="External"/><Relationship Id="rId14" Type="http://schemas.openxmlformats.org/officeDocument/2006/relationships/hyperlink" Target="https://leg.wa.gov/legislators/member/26178" TargetMode="External"/><Relationship Id="rId22" Type="http://schemas.openxmlformats.org/officeDocument/2006/relationships/hyperlink" Target="https://leg.wa.gov/legislators/member/20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Merrill</dc:creator>
  <cp:keywords/>
  <dc:description/>
  <cp:lastModifiedBy>Susan Cozzens</cp:lastModifiedBy>
  <cp:revision>17</cp:revision>
  <dcterms:created xsi:type="dcterms:W3CDTF">2026-01-16T18:10:00Z</dcterms:created>
  <dcterms:modified xsi:type="dcterms:W3CDTF">2026-01-24T14:13:00Z</dcterms:modified>
</cp:coreProperties>
</file>