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E6C6" w14:textId="1A3CAA9F" w:rsidR="00C361CD" w:rsidRDefault="009A4523" w:rsidP="00CA5B2D">
      <w:pPr>
        <w:pBdr>
          <w:bottom w:val="single" w:sz="12" w:space="1" w:color="auto"/>
        </w:pBdr>
      </w:pPr>
      <w:r w:rsidRPr="00786297">
        <w:rPr>
          <w:b/>
          <w:bCs/>
        </w:rPr>
        <w:t>CURB</w:t>
      </w:r>
      <w:r w:rsidR="00F608CF">
        <w:rPr>
          <w:b/>
          <w:bCs/>
        </w:rPr>
        <w:t xml:space="preserve"> Act -- Taking</w:t>
      </w:r>
      <w:r w:rsidRPr="00786297">
        <w:rPr>
          <w:b/>
          <w:bCs/>
        </w:rPr>
        <w:t xml:space="preserve"> </w:t>
      </w:r>
      <w:r w:rsidRPr="00CA5B2D">
        <w:rPr>
          <w:b/>
          <w:bCs/>
        </w:rPr>
        <w:t>Cumulative Risk Burden</w:t>
      </w:r>
      <w:r w:rsidR="00F608CF">
        <w:rPr>
          <w:b/>
          <w:bCs/>
        </w:rPr>
        <w:t xml:space="preserve"> into Account</w:t>
      </w:r>
    </w:p>
    <w:p w14:paraId="74C3750A" w14:textId="0574BF15" w:rsidR="00C574A3" w:rsidRPr="00816660" w:rsidRDefault="00FB0996" w:rsidP="00CA5B2D">
      <w:pPr>
        <w:rPr>
          <w:sz w:val="22"/>
          <w:szCs w:val="22"/>
        </w:rPr>
      </w:pPr>
      <w:hyperlink r:id="rId5" w:history="1">
        <w:r w:rsidRPr="007953AA">
          <w:rPr>
            <w:rStyle w:val="Hyperlink"/>
            <w:b/>
            <w:bCs/>
            <w:sz w:val="22"/>
            <w:szCs w:val="22"/>
          </w:rPr>
          <w:t>HB 1303</w:t>
        </w:r>
      </w:hyperlink>
      <w:r w:rsidR="00816660">
        <w:rPr>
          <w:b/>
          <w:bCs/>
          <w:sz w:val="22"/>
          <w:szCs w:val="22"/>
        </w:rPr>
        <w:t xml:space="preserve">. </w:t>
      </w:r>
      <w:r w:rsidR="00816660" w:rsidRPr="00816660">
        <w:rPr>
          <w:sz w:val="22"/>
          <w:szCs w:val="22"/>
        </w:rPr>
        <w:t xml:space="preserve">Sponsors: Representatives Mena, Berry, Reeves, Reed, Ormsby, Salahuddin, Ramel, Pollet, Nance, </w:t>
      </w:r>
      <w:proofErr w:type="spellStart"/>
      <w:r w:rsidR="00816660" w:rsidRPr="00816660">
        <w:rPr>
          <w:sz w:val="22"/>
          <w:szCs w:val="22"/>
        </w:rPr>
        <w:t>Doglio</w:t>
      </w:r>
      <w:proofErr w:type="spellEnd"/>
      <w:r w:rsidR="001C5A32">
        <w:rPr>
          <w:sz w:val="22"/>
          <w:szCs w:val="22"/>
        </w:rPr>
        <w:t>,</w:t>
      </w:r>
      <w:r w:rsidR="00816660" w:rsidRPr="00816660">
        <w:rPr>
          <w:sz w:val="22"/>
          <w:szCs w:val="22"/>
        </w:rPr>
        <w:t xml:space="preserve"> and Scott.</w:t>
      </w:r>
    </w:p>
    <w:p w14:paraId="484A4FBE" w14:textId="5DC431C1" w:rsidR="00950827" w:rsidRPr="004F1700" w:rsidRDefault="00FB0996">
      <w:pPr>
        <w:rPr>
          <w:sz w:val="22"/>
          <w:szCs w:val="22"/>
        </w:rPr>
      </w:pPr>
      <w:hyperlink r:id="rId6" w:history="1">
        <w:r w:rsidRPr="007953AA">
          <w:rPr>
            <w:rStyle w:val="Hyperlink"/>
            <w:b/>
            <w:bCs/>
            <w:sz w:val="22"/>
            <w:szCs w:val="22"/>
          </w:rPr>
          <w:t>SB 5380</w:t>
        </w:r>
      </w:hyperlink>
      <w:r w:rsidR="0086389E">
        <w:rPr>
          <w:b/>
          <w:bCs/>
          <w:sz w:val="22"/>
          <w:szCs w:val="22"/>
        </w:rPr>
        <w:t xml:space="preserve"> </w:t>
      </w:r>
      <w:r w:rsidR="004F1700" w:rsidRPr="004F1700">
        <w:rPr>
          <w:sz w:val="22"/>
          <w:szCs w:val="22"/>
        </w:rPr>
        <w:t xml:space="preserve">Sponsors: Senators Lovelett, Trudeau, Hasegawa, Nobles, Saldaña, Stanford and Valdez. </w:t>
      </w:r>
    </w:p>
    <w:p w14:paraId="3B79E5BA" w14:textId="4062B8FB" w:rsidR="00A136A9" w:rsidRDefault="008E2AF3">
      <w:pPr>
        <w:rPr>
          <w:b/>
          <w:bCs/>
        </w:rPr>
      </w:pPr>
      <w:r w:rsidRPr="00BB0A7B">
        <w:rPr>
          <w:b/>
          <w:bCs/>
        </w:rPr>
        <w:t>Brief Summary</w:t>
      </w:r>
    </w:p>
    <w:p w14:paraId="53DB41EF" w14:textId="33FC105B" w:rsidR="00FC1BFE" w:rsidRDefault="00DB7BF9">
      <w:r w:rsidRPr="00DB7BF9">
        <w:t>Adds environmental justice to the State Environmental Policy Act (SEPA) review process, including the elements of the environment considered under SEPA and the SEPA checklist</w:t>
      </w:r>
      <w:r w:rsidR="005C1932">
        <w:t xml:space="preserve">, to consider it </w:t>
      </w:r>
      <w:r w:rsidR="00DC1F60">
        <w:t xml:space="preserve">in the same way as other elements of the environment under SEPA. </w:t>
      </w:r>
    </w:p>
    <w:p w14:paraId="7B92F427" w14:textId="1D11EDC4" w:rsidR="00682FE5" w:rsidRDefault="00E25610">
      <w:r>
        <w:t xml:space="preserve">In comparison with the original bill, the second substitute </w:t>
      </w:r>
    </w:p>
    <w:p w14:paraId="65F09036" w14:textId="77777777" w:rsidR="00FC1BFE" w:rsidRDefault="00682FE5" w:rsidP="00FC1BFE">
      <w:pPr>
        <w:pStyle w:val="ListParagraph"/>
        <w:numPr>
          <w:ilvl w:val="0"/>
          <w:numId w:val="3"/>
        </w:numPr>
      </w:pPr>
      <w:proofErr w:type="gramStart"/>
      <w:r w:rsidRPr="00682FE5">
        <w:t>eliminates</w:t>
      </w:r>
      <w:proofErr w:type="gramEnd"/>
      <w:r w:rsidRPr="00682FE5">
        <w:t xml:space="preserve"> provisions addressing environmental justice impact statements for certain government actions in pollution-burdened </w:t>
      </w:r>
      <w:proofErr w:type="gramStart"/>
      <w:r w:rsidRPr="00682FE5">
        <w:t>communities;</w:t>
      </w:r>
      <w:proofErr w:type="gramEnd"/>
      <w:r w:rsidRPr="00682FE5">
        <w:t xml:space="preserve"> </w:t>
      </w:r>
    </w:p>
    <w:p w14:paraId="72018D53" w14:textId="77777777" w:rsidR="00FC1BFE" w:rsidRDefault="00682FE5" w:rsidP="00FC1BFE">
      <w:pPr>
        <w:pStyle w:val="ListParagraph"/>
        <w:numPr>
          <w:ilvl w:val="0"/>
          <w:numId w:val="3"/>
        </w:numPr>
      </w:pPr>
      <w:r w:rsidRPr="00682FE5">
        <w:t xml:space="preserve">eliminates provisions amending the state Clean Air Act to prohibit certain types of facilities from receiving permits in specified communities; and </w:t>
      </w:r>
    </w:p>
    <w:p w14:paraId="4A627D3C" w14:textId="3C786683" w:rsidR="00682FE5" w:rsidRPr="00DB7BF9" w:rsidRDefault="00682FE5" w:rsidP="00FC1BFE">
      <w:pPr>
        <w:pStyle w:val="ListParagraph"/>
        <w:numPr>
          <w:ilvl w:val="0"/>
          <w:numId w:val="3"/>
        </w:numPr>
      </w:pPr>
      <w:r w:rsidRPr="00682FE5">
        <w:t>directs Ecology, in adding environmental justice to SEPA, to identify standardized mitigation for potential adverse environmental impacts to environmental justice.</w:t>
      </w:r>
    </w:p>
    <w:p w14:paraId="583A5EC5" w14:textId="77777777" w:rsidR="00183F76" w:rsidRDefault="00183F76" w:rsidP="00183F76">
      <w:r w:rsidRPr="00183F76">
        <w:rPr>
          <w:b/>
          <w:bCs/>
        </w:rPr>
        <w:t>Fiscal note</w:t>
      </w:r>
      <w:r>
        <w:t>: $4.6 million in 2025-27</w:t>
      </w:r>
    </w:p>
    <w:p w14:paraId="0711C964" w14:textId="77777777" w:rsidR="00AE21FB" w:rsidRDefault="00AE21FB" w:rsidP="00AE21FB">
      <w:proofErr w:type="gramStart"/>
      <w:r w:rsidRPr="00AE21FB">
        <w:rPr>
          <w:b/>
          <w:bCs/>
        </w:rPr>
        <w:t>Current status</w:t>
      </w:r>
      <w:proofErr w:type="gramEnd"/>
      <w:r>
        <w:t xml:space="preserve">: The House bill is the vehicle. It reached the Rules Committee in 2025 but did not get to the House floor for a vote. In 2026, it did not require another hearing and has been referred to Appropriations. The bill under consideration is a second substitute. </w:t>
      </w:r>
    </w:p>
    <w:p w14:paraId="00B65EF1" w14:textId="23736A59" w:rsidR="00B057D8" w:rsidRDefault="00B057D8">
      <w:r w:rsidRPr="00FC1BFE">
        <w:rPr>
          <w:b/>
          <w:bCs/>
        </w:rPr>
        <w:t>Pros</w:t>
      </w:r>
      <w:r w:rsidR="003C6990">
        <w:rPr>
          <w:b/>
          <w:bCs/>
        </w:rPr>
        <w:t xml:space="preserve"> (from 2025 testimony)</w:t>
      </w:r>
      <w:r w:rsidR="005152BB">
        <w:t xml:space="preserve">. </w:t>
      </w:r>
      <w:r w:rsidR="00800245">
        <w:t xml:space="preserve">Some communities face disproportionate exposure to pollution </w:t>
      </w:r>
      <w:proofErr w:type="gramStart"/>
      <w:r w:rsidR="00800245">
        <w:t>as a result of</w:t>
      </w:r>
      <w:proofErr w:type="gramEnd"/>
      <w:r w:rsidR="00800245">
        <w:t xml:space="preserve"> the compounding of historical permitting decisions. </w:t>
      </w:r>
      <w:r w:rsidR="00CB4EF0" w:rsidRPr="00CB4EF0">
        <w:t>These communities have reduced life expectancies, an increase in certain medical conditions, and a lower quality of life as a result.  The government should consider the cumulative impacts of pollution when making decisions that affect the public</w:t>
      </w:r>
      <w:r w:rsidR="00DA7178">
        <w:t xml:space="preserve"> </w:t>
      </w:r>
      <w:r w:rsidR="00CB4EF0" w:rsidRPr="00CB4EF0">
        <w:t>and should mitigate the harm from those decisions.</w:t>
      </w:r>
    </w:p>
    <w:p w14:paraId="28AB400D" w14:textId="5DB72904" w:rsidR="00B057D8" w:rsidRDefault="00B057D8">
      <w:r w:rsidRPr="00FC1BFE">
        <w:rPr>
          <w:b/>
          <w:bCs/>
        </w:rPr>
        <w:t>Cons</w:t>
      </w:r>
      <w:r w:rsidR="003C6990">
        <w:rPr>
          <w:b/>
          <w:bCs/>
        </w:rPr>
        <w:t xml:space="preserve"> (from 2025 testimony)</w:t>
      </w:r>
      <w:r w:rsidR="00FC1BFE">
        <w:rPr>
          <w:b/>
          <w:bCs/>
        </w:rPr>
        <w:t xml:space="preserve">. </w:t>
      </w:r>
      <w:r w:rsidR="007544C1" w:rsidRPr="000E3D2A">
        <w:t xml:space="preserve">Adding duplicative and burdensome layers to the environmental review processes will be harmful to Washington's trade-dependent economy.  Additional review will lead to longer permitting processes, and uncertainty regarding the outcomes of permitting decisions. </w:t>
      </w:r>
      <w:r w:rsidR="000E3D2A" w:rsidRPr="000E3D2A">
        <w:t xml:space="preserve">Economic factors should be allowed to be considered in government </w:t>
      </w:r>
      <w:proofErr w:type="spellStart"/>
      <w:proofErr w:type="gramStart"/>
      <w:r w:rsidR="000E3D2A" w:rsidRPr="000E3D2A">
        <w:t>decisionmaking</w:t>
      </w:r>
      <w:proofErr w:type="spellEnd"/>
      <w:proofErr w:type="gramEnd"/>
      <w:r w:rsidR="000E3D2A" w:rsidRPr="000E3D2A">
        <w:t>, including in environmental review processes.</w:t>
      </w:r>
    </w:p>
    <w:p w14:paraId="1CE3FED4" w14:textId="6E0AF908" w:rsidR="000E3D2A" w:rsidRPr="000E3D2A" w:rsidRDefault="000E3D2A">
      <w:r>
        <w:t xml:space="preserve">See the </w:t>
      </w:r>
      <w:r w:rsidR="00BD7F3A">
        <w:t xml:space="preserve">summary of testimony in the </w:t>
      </w:r>
      <w:hyperlink r:id="rId7" w:history="1">
        <w:r w:rsidR="00BD7F3A" w:rsidRPr="001F71CF">
          <w:rPr>
            <w:rStyle w:val="Hyperlink"/>
          </w:rPr>
          <w:t>Bill Report</w:t>
        </w:r>
      </w:hyperlink>
      <w:r w:rsidR="00BD7F3A">
        <w:t xml:space="preserve"> for more detail</w:t>
      </w:r>
      <w:r w:rsidR="00DA7178">
        <w:t>,</w:t>
      </w:r>
      <w:r w:rsidR="00BD7F3A">
        <w:t xml:space="preserve"> including which organizations testified pro and con. </w:t>
      </w:r>
    </w:p>
    <w:sectPr w:rsidR="000E3D2A" w:rsidRPr="000E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1D00"/>
    <w:multiLevelType w:val="hybridMultilevel"/>
    <w:tmpl w:val="7A16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388F"/>
    <w:multiLevelType w:val="multilevel"/>
    <w:tmpl w:val="2A5C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82B2B"/>
    <w:multiLevelType w:val="multilevel"/>
    <w:tmpl w:val="AC0E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11220">
    <w:abstractNumId w:val="2"/>
  </w:num>
  <w:num w:numId="2" w16cid:durableId="802506364">
    <w:abstractNumId w:val="1"/>
  </w:num>
  <w:num w:numId="3" w16cid:durableId="134624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A9"/>
    <w:rsid w:val="00035212"/>
    <w:rsid w:val="00091058"/>
    <w:rsid w:val="000E3D2A"/>
    <w:rsid w:val="00165709"/>
    <w:rsid w:val="00183F76"/>
    <w:rsid w:val="001C5A32"/>
    <w:rsid w:val="001F71CF"/>
    <w:rsid w:val="00297AC7"/>
    <w:rsid w:val="003C6990"/>
    <w:rsid w:val="00426DF3"/>
    <w:rsid w:val="004E195B"/>
    <w:rsid w:val="004F1700"/>
    <w:rsid w:val="004F40F8"/>
    <w:rsid w:val="005152BB"/>
    <w:rsid w:val="00555B28"/>
    <w:rsid w:val="00567BEE"/>
    <w:rsid w:val="005C1932"/>
    <w:rsid w:val="005E56DD"/>
    <w:rsid w:val="0064213B"/>
    <w:rsid w:val="00682FE5"/>
    <w:rsid w:val="007544C1"/>
    <w:rsid w:val="007953AA"/>
    <w:rsid w:val="007D22F7"/>
    <w:rsid w:val="00800245"/>
    <w:rsid w:val="00816660"/>
    <w:rsid w:val="0086389E"/>
    <w:rsid w:val="008E2AF3"/>
    <w:rsid w:val="00921121"/>
    <w:rsid w:val="00923E45"/>
    <w:rsid w:val="00950827"/>
    <w:rsid w:val="009A3A70"/>
    <w:rsid w:val="009A4523"/>
    <w:rsid w:val="00A136A9"/>
    <w:rsid w:val="00A93E39"/>
    <w:rsid w:val="00A94886"/>
    <w:rsid w:val="00AE21FB"/>
    <w:rsid w:val="00B057D8"/>
    <w:rsid w:val="00BB0A7B"/>
    <w:rsid w:val="00BD7F3A"/>
    <w:rsid w:val="00BE0D4F"/>
    <w:rsid w:val="00C361CD"/>
    <w:rsid w:val="00C574A3"/>
    <w:rsid w:val="00C942AE"/>
    <w:rsid w:val="00CA5B2D"/>
    <w:rsid w:val="00CB4EF0"/>
    <w:rsid w:val="00CE238D"/>
    <w:rsid w:val="00DA7178"/>
    <w:rsid w:val="00DB7BF9"/>
    <w:rsid w:val="00DC1F60"/>
    <w:rsid w:val="00E0087B"/>
    <w:rsid w:val="00E25610"/>
    <w:rsid w:val="00F34D8D"/>
    <w:rsid w:val="00F608CF"/>
    <w:rsid w:val="00FB0996"/>
    <w:rsid w:val="00FC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9DFC"/>
  <w15:chartTrackingRefBased/>
  <w15:docId w15:val="{87E46D30-C012-4BD5-B68B-28AD2071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6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42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2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3F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filesext.leg.wa.gov/biennium/2025-26/Pdf/Bill%20Reports/House/1303%20HBR%20APP%2025.pdf?q=20260124062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leg.wa.gov/BillSummary/?BillNumber=5380&amp;Chamber=Senate&amp;Year=2025" TargetMode="External"/><Relationship Id="rId5" Type="http://schemas.openxmlformats.org/officeDocument/2006/relationships/hyperlink" Target="https://app.leg.wa.gov/BillSummary/?BillNumber=1303&amp;Year=2025&amp;Initiative=fal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Cozzens</dc:creator>
  <cp:keywords/>
  <dc:description/>
  <cp:lastModifiedBy>Susan Cozzens</cp:lastModifiedBy>
  <cp:revision>46</cp:revision>
  <dcterms:created xsi:type="dcterms:W3CDTF">2026-01-24T14:14:00Z</dcterms:created>
  <dcterms:modified xsi:type="dcterms:W3CDTF">2026-01-25T04:02:00Z</dcterms:modified>
</cp:coreProperties>
</file>